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D6F" w:rsidRPr="00714FD0" w:rsidRDefault="00044D6F" w:rsidP="00714FD0">
      <w:pPr>
        <w:spacing w:line="360" w:lineRule="auto"/>
        <w:jc w:val="center"/>
        <w:rPr>
          <w:rFonts w:ascii="Times New Roman" w:hAnsi="Times New Roman" w:cs="Times New Roman"/>
          <w:b/>
          <w:bCs/>
          <w:sz w:val="28"/>
          <w:szCs w:val="28"/>
        </w:rPr>
      </w:pPr>
      <w:r w:rsidRPr="00714FD0">
        <w:rPr>
          <w:rFonts w:ascii="Times New Roman" w:hAnsi="Times New Roman" w:cs="Times New Roman"/>
          <w:b/>
          <w:bCs/>
          <w:sz w:val="28"/>
          <w:szCs w:val="28"/>
        </w:rPr>
        <w:t>LEY DE DERECHO INTERNACIONAL PRIVADO</w:t>
      </w:r>
    </w:p>
    <w:p w:rsidR="00714FD0" w:rsidRDefault="00714FD0" w:rsidP="00714FD0">
      <w:pPr>
        <w:spacing w:line="360" w:lineRule="auto"/>
        <w:jc w:val="center"/>
        <w:rPr>
          <w:rFonts w:ascii="Times New Roman" w:hAnsi="Times New Roman" w:cs="Times New Roman"/>
          <w:b/>
          <w:bCs/>
        </w:rPr>
      </w:pPr>
    </w:p>
    <w:p w:rsidR="00044D6F"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Capítulo I</w:t>
      </w:r>
    </w:p>
    <w:p w:rsidR="00044D6F"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Disposiciones Generales</w:t>
      </w:r>
    </w:p>
    <w:p w:rsidR="00714FD0" w:rsidRDefault="00714FD0" w:rsidP="00714FD0">
      <w:pPr>
        <w:spacing w:line="360" w:lineRule="auto"/>
        <w:ind w:firstLine="708"/>
        <w:jc w:val="both"/>
        <w:rPr>
          <w:rFonts w:ascii="Times New Roman" w:hAnsi="Times New Roman" w:cs="Times New Roman"/>
        </w:rPr>
      </w:pPr>
    </w:p>
    <w:p w:rsidR="00714FD0" w:rsidRDefault="00EE6EBF" w:rsidP="00714FD0">
      <w:pPr>
        <w:spacing w:line="360" w:lineRule="auto"/>
        <w:jc w:val="center"/>
        <w:rPr>
          <w:rFonts w:ascii="Times New Roman" w:hAnsi="Times New Roman" w:cs="Times New Roman"/>
          <w:b/>
          <w:bCs/>
          <w:vertAlign w:val="superscript"/>
        </w:rPr>
      </w:pPr>
      <w:r w:rsidRPr="00714FD0">
        <w:rPr>
          <w:rFonts w:ascii="Times New Roman" w:hAnsi="Times New Roman" w:cs="Times New Roman"/>
          <w:b/>
          <w:bCs/>
        </w:rPr>
        <w:t>Artículo 1</w:t>
      </w:r>
      <w:r w:rsidR="00714FD0">
        <w:rPr>
          <w:rFonts w:ascii="Times New Roman" w:hAnsi="Times New Roman" w:cs="Times New Roman"/>
          <w:b/>
          <w:bCs/>
          <w:vertAlign w:val="superscript"/>
        </w:rPr>
        <w:t>o</w:t>
      </w:r>
    </w:p>
    <w:p w:rsidR="00044D6F" w:rsidRPr="00714FD0" w:rsidRDefault="00EE6EBF" w:rsidP="00714FD0">
      <w:pPr>
        <w:spacing w:line="360" w:lineRule="auto"/>
        <w:jc w:val="both"/>
        <w:rPr>
          <w:rFonts w:ascii="Times New Roman" w:hAnsi="Times New Roman" w:cs="Times New Roman"/>
          <w:b/>
          <w:bCs/>
          <w:vertAlign w:val="superscript"/>
        </w:rPr>
      </w:pPr>
      <w:r w:rsidRPr="00714FD0">
        <w:rPr>
          <w:rFonts w:ascii="Times New Roman" w:hAnsi="Times New Roman" w:cs="Times New Roman"/>
        </w:rPr>
        <w:t>Los supuestos de hecho relacionados con los ordenamientos jurídicos extranjeros se regularán, por las normas de Derecho Internacional Público sobre la materia, en particular, las establecidas en los tratados internacionales vigentes en Venezuela; en su defecto, se aplicarán las normas de Derecho Internacional Privado venezolano; a falta de ellas, se utilizará la analogía y, finalmente, se regirán por los principios de Derecho Internacional Privado generalmente aceptados.</w:t>
      </w:r>
    </w:p>
    <w:p w:rsidR="00044D6F" w:rsidRPr="00714FD0" w:rsidRDefault="00044D6F" w:rsidP="00714FD0">
      <w:pPr>
        <w:spacing w:line="360" w:lineRule="auto"/>
        <w:jc w:val="both"/>
        <w:rPr>
          <w:rFonts w:ascii="Times New Roman" w:hAnsi="Times New Roman" w:cs="Times New Roman"/>
        </w:rPr>
      </w:pPr>
    </w:p>
    <w:p w:rsidR="00714FD0" w:rsidRDefault="00EE6EBF" w:rsidP="00714FD0">
      <w:pPr>
        <w:spacing w:line="360" w:lineRule="auto"/>
        <w:jc w:val="center"/>
        <w:rPr>
          <w:rFonts w:ascii="Times New Roman" w:hAnsi="Times New Roman" w:cs="Times New Roman"/>
        </w:rPr>
      </w:pPr>
      <w:r w:rsidRPr="00714FD0">
        <w:rPr>
          <w:rFonts w:ascii="Times New Roman" w:hAnsi="Times New Roman" w:cs="Times New Roman"/>
          <w:b/>
          <w:bCs/>
        </w:rPr>
        <w:t>Artículo 2</w:t>
      </w:r>
      <w:r w:rsidR="00714FD0">
        <w:rPr>
          <w:rFonts w:ascii="Times New Roman" w:hAnsi="Times New Roman" w:cs="Times New Roman"/>
          <w:b/>
          <w:bCs/>
          <w:vertAlign w:val="superscript"/>
        </w:rPr>
        <w:t>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Derecho extranjero que resulte competente se aplicará de acuerdo con los principios que rijan en el país extranjero respectivo, y de manera que se realicen los objetivos perseguidos por las normas venezolanas de conflicto.</w:t>
      </w:r>
    </w:p>
    <w:p w:rsidR="00044D6F" w:rsidRPr="00714FD0" w:rsidRDefault="00044D6F"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vertAlign w:val="superscript"/>
        </w:rPr>
      </w:pPr>
      <w:r w:rsidRPr="00714FD0">
        <w:rPr>
          <w:rFonts w:ascii="Times New Roman" w:hAnsi="Times New Roman" w:cs="Times New Roman"/>
          <w:b/>
          <w:bCs/>
        </w:rPr>
        <w:t>Artículo 3</w:t>
      </w:r>
      <w:r w:rsidR="00714FD0">
        <w:rPr>
          <w:rFonts w:ascii="Times New Roman" w:hAnsi="Times New Roman" w:cs="Times New Roman"/>
          <w:b/>
          <w:bCs/>
          <w:vertAlign w:val="superscript"/>
        </w:rPr>
        <w:t>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Cuando en el Derecho extranjero que resulte competente coexistan diversos ordenamientos jurídicos, el conflicto de leyes que se suscite entre esos ordenamientos se resolverá de acuerdo con los principios vigentes en el correspondiente Derecho extranjero.</w:t>
      </w:r>
    </w:p>
    <w:p w:rsidR="00044D6F" w:rsidRPr="00714FD0" w:rsidRDefault="00044D6F" w:rsidP="00714FD0">
      <w:pPr>
        <w:spacing w:line="360" w:lineRule="auto"/>
        <w:jc w:val="both"/>
        <w:rPr>
          <w:rFonts w:ascii="Times New Roman" w:hAnsi="Times New Roman" w:cs="Times New Roman"/>
        </w:rPr>
      </w:pPr>
    </w:p>
    <w:p w:rsidR="00714FD0" w:rsidRDefault="00EE6EBF" w:rsidP="00714FD0">
      <w:pPr>
        <w:spacing w:line="360" w:lineRule="auto"/>
        <w:jc w:val="center"/>
        <w:rPr>
          <w:rFonts w:ascii="Times New Roman" w:hAnsi="Times New Roman" w:cs="Times New Roman"/>
        </w:rPr>
      </w:pPr>
      <w:r w:rsidRPr="00714FD0">
        <w:rPr>
          <w:rFonts w:ascii="Times New Roman" w:hAnsi="Times New Roman" w:cs="Times New Roman"/>
          <w:b/>
          <w:bCs/>
        </w:rPr>
        <w:t>Artículo 4</w:t>
      </w:r>
      <w:r w:rsidR="00714FD0">
        <w:rPr>
          <w:rFonts w:ascii="Times New Roman" w:hAnsi="Times New Roman" w:cs="Times New Roman"/>
          <w:b/>
          <w:bCs/>
          <w:vertAlign w:val="superscript"/>
        </w:rPr>
        <w:t>o</w:t>
      </w:r>
    </w:p>
    <w:p w:rsid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Cuando el Derecho extranjero competente declare aplicable el Derecho de un tercer Estado que, a su vez, se declare competente, deberá aplicarse el Derecho interno de este tercer Estado.</w:t>
      </w:r>
      <w:r w:rsidR="00044D6F" w:rsidRPr="00714FD0">
        <w:rPr>
          <w:rFonts w:ascii="Times New Roman" w:hAnsi="Times New Roman" w:cs="Times New Roman"/>
        </w:rPr>
        <w:t xml:space="preserve"> </w:t>
      </w:r>
    </w:p>
    <w:p w:rsid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Cuando el Derecho extranjero competente declare aplicable el Derecho venezolano, deberá aplicarse este Derecho.</w:t>
      </w:r>
      <w:r w:rsidR="00044D6F" w:rsidRPr="00714FD0">
        <w:rPr>
          <w:rFonts w:ascii="Times New Roman" w:hAnsi="Times New Roman" w:cs="Times New Roman"/>
        </w:rPr>
        <w:t xml:space="preserve"> </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En los casos no previstos en los dos párrafos anteriores, deberá aplicarse el Derecho interno del Estado que declare competente la norma venezolana de conflicto.</w:t>
      </w:r>
    </w:p>
    <w:p w:rsidR="00044D6F" w:rsidRPr="00714FD0" w:rsidRDefault="00044D6F" w:rsidP="00714FD0">
      <w:pPr>
        <w:spacing w:line="360" w:lineRule="auto"/>
        <w:jc w:val="both"/>
        <w:rPr>
          <w:rFonts w:ascii="Times New Roman" w:hAnsi="Times New Roman" w:cs="Times New Roman"/>
        </w:rPr>
      </w:pPr>
    </w:p>
    <w:p w:rsidR="00714FD0" w:rsidRDefault="00EE6EBF" w:rsidP="00714FD0">
      <w:pPr>
        <w:spacing w:line="360" w:lineRule="auto"/>
        <w:jc w:val="center"/>
        <w:rPr>
          <w:rFonts w:ascii="Times New Roman" w:hAnsi="Times New Roman" w:cs="Times New Roman"/>
        </w:rPr>
      </w:pPr>
      <w:r w:rsidRPr="00714FD0">
        <w:rPr>
          <w:rFonts w:ascii="Times New Roman" w:hAnsi="Times New Roman" w:cs="Times New Roman"/>
          <w:b/>
          <w:bCs/>
        </w:rPr>
        <w:t>Artículo 5</w:t>
      </w:r>
      <w:r w:rsidR="00714FD0">
        <w:rPr>
          <w:rFonts w:ascii="Times New Roman" w:hAnsi="Times New Roman" w:cs="Times New Roman"/>
          <w:b/>
          <w:bCs/>
          <w:vertAlign w:val="superscript"/>
        </w:rPr>
        <w:t>o</w:t>
      </w:r>
    </w:p>
    <w:p w:rsid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situaciones jurídicas creadas de conformidad con un Derecho extranjero que se atribuya competencia de acuerdo con criterios internacionalmente admisibles producirán efectos en la República, a no ser que contradigan los objetivos de las normas venezolanas de conflicto, que el Derecho venezolano reclame competencia exclusiva en la materia respectiva, o que sean manifiestamente incompatibles con los principios esenciales del orden público venezolano.</w:t>
      </w:r>
    </w:p>
    <w:p w:rsidR="00714FD0" w:rsidRDefault="00714FD0" w:rsidP="00714FD0">
      <w:pPr>
        <w:spacing w:line="360" w:lineRule="auto"/>
        <w:jc w:val="both"/>
        <w:rPr>
          <w:rFonts w:ascii="Times New Roman" w:hAnsi="Times New Roman" w:cs="Times New Roman"/>
        </w:rPr>
      </w:pPr>
    </w:p>
    <w:p w:rsidR="00714FD0" w:rsidRDefault="00EE6EBF" w:rsidP="00714FD0">
      <w:pPr>
        <w:spacing w:line="360" w:lineRule="auto"/>
        <w:jc w:val="center"/>
        <w:rPr>
          <w:rFonts w:ascii="Times New Roman" w:hAnsi="Times New Roman" w:cs="Times New Roman"/>
        </w:rPr>
      </w:pPr>
      <w:r w:rsidRPr="00714FD0">
        <w:rPr>
          <w:rFonts w:ascii="Times New Roman" w:hAnsi="Times New Roman" w:cs="Times New Roman"/>
          <w:b/>
          <w:bCs/>
        </w:rPr>
        <w:t>Artículo 6</w:t>
      </w:r>
      <w:r w:rsidR="00714FD0">
        <w:rPr>
          <w:rFonts w:ascii="Times New Roman" w:hAnsi="Times New Roman" w:cs="Times New Roman"/>
          <w:b/>
          <w:bCs/>
          <w:vertAlign w:val="superscript"/>
        </w:rPr>
        <w:t>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cuestiones previas, preliminares o incidentales que puedan surgir con motivo de una cuestión principal, no deben resolverse necesariamente de acuerdo con el Derecho que regula esta última.</w:t>
      </w:r>
    </w:p>
    <w:p w:rsidR="00044D6F" w:rsidRPr="00714FD0" w:rsidRDefault="00044D6F" w:rsidP="00714FD0">
      <w:pPr>
        <w:spacing w:line="360" w:lineRule="auto"/>
        <w:jc w:val="both"/>
        <w:rPr>
          <w:rFonts w:ascii="Times New Roman" w:hAnsi="Times New Roman" w:cs="Times New Roman"/>
        </w:rPr>
      </w:pPr>
    </w:p>
    <w:p w:rsidR="00714FD0" w:rsidRDefault="00EE6EBF" w:rsidP="00714FD0">
      <w:pPr>
        <w:spacing w:line="360" w:lineRule="auto"/>
        <w:jc w:val="center"/>
        <w:rPr>
          <w:rFonts w:ascii="Times New Roman" w:hAnsi="Times New Roman" w:cs="Times New Roman"/>
        </w:rPr>
      </w:pPr>
      <w:r w:rsidRPr="00714FD0">
        <w:rPr>
          <w:rFonts w:ascii="Times New Roman" w:hAnsi="Times New Roman" w:cs="Times New Roman"/>
          <w:b/>
          <w:bCs/>
        </w:rPr>
        <w:t>Artículo 7</w:t>
      </w:r>
      <w:r w:rsidR="00714FD0">
        <w:rPr>
          <w:rFonts w:ascii="Times New Roman" w:hAnsi="Times New Roman" w:cs="Times New Roman"/>
          <w:b/>
          <w:bCs/>
          <w:vertAlign w:val="superscript"/>
        </w:rPr>
        <w:t>o</w:t>
      </w:r>
    </w:p>
    <w:p w:rsid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diversos Derechos que puedan ser competentes para regular los diferentes aspectos de una misma relación jurídica, serán aplicados armónicamente, procurando realizar las finalidades perseguidas por cada uno de dichos Derechos.</w:t>
      </w:r>
      <w:r w:rsidR="00044D6F" w:rsidRPr="00714FD0">
        <w:rPr>
          <w:rFonts w:ascii="Times New Roman" w:hAnsi="Times New Roman" w:cs="Times New Roman"/>
        </w:rPr>
        <w:t xml:space="preserve"> </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posibles dificultades causadas por su aplicación simultánea se resolverán teniendo en cuenta las exigencias impuestas por la equidad en el caso concreto.</w:t>
      </w:r>
    </w:p>
    <w:p w:rsidR="00044D6F" w:rsidRPr="00714FD0" w:rsidRDefault="00044D6F"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Artículo 8</w:t>
      </w:r>
      <w:r w:rsidR="00714FD0" w:rsidRPr="00714FD0">
        <w:rPr>
          <w:rFonts w:ascii="Times New Roman" w:hAnsi="Times New Roman" w:cs="Times New Roman"/>
          <w:b/>
          <w:bCs/>
          <w:vertAlign w:val="superscript"/>
        </w:rPr>
        <w:t>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disposiciones del derecho extranjero que deban ser aplicables de conformidad con esta Ley, sólo serán excluidas cuando su aplicación produzca resultados manifiestamente incompatibles con los principios esenciales del orden público venezolano.</w:t>
      </w:r>
    </w:p>
    <w:p w:rsidR="00714FD0" w:rsidRDefault="00714FD0"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Artículo 9</w:t>
      </w:r>
      <w:r w:rsidR="00714FD0" w:rsidRPr="00714FD0">
        <w:rPr>
          <w:rFonts w:ascii="Times New Roman" w:hAnsi="Times New Roman" w:cs="Times New Roman"/>
          <w:b/>
          <w:bCs/>
          <w:vertAlign w:val="superscript"/>
        </w:rPr>
        <w:t>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Cuando el Derecho extranjero declarado aplicable al caso establezca instituciones o procedimientos esenciales para su adecuada aplicación que no estén contemplados en el ordenamiento jurídico venezolano, podrá negarse la aplicación de dicho Derecho extranjero, siempre que el Derecho venezolano no tenga instituciones o procedimientos análogos.</w:t>
      </w: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lastRenderedPageBreak/>
        <w:t>Artículo 10</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No obstante lo previsto en esta Ley, se aplicará necesariamente las disposiciones imperativas del Derecho venezolano que hayan sido dictadas para regular los supuestos de hecho conectados con varios ordenamientos jurídicos.</w:t>
      </w:r>
    </w:p>
    <w:p w:rsidR="00714FD0" w:rsidRDefault="00714FD0" w:rsidP="00714FD0">
      <w:pPr>
        <w:spacing w:line="360" w:lineRule="auto"/>
        <w:jc w:val="both"/>
        <w:rPr>
          <w:rFonts w:ascii="Times New Roman" w:hAnsi="Times New Roman" w:cs="Times New Roman"/>
        </w:rPr>
      </w:pPr>
    </w:p>
    <w:p w:rsidR="00044D6F"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Capítulo II</w:t>
      </w:r>
    </w:p>
    <w:p w:rsidR="00044D6F" w:rsidRPr="00714FD0" w:rsidRDefault="00EE6EBF" w:rsidP="00714FD0">
      <w:pPr>
        <w:spacing w:line="360" w:lineRule="auto"/>
        <w:jc w:val="center"/>
        <w:rPr>
          <w:rFonts w:ascii="Times New Roman" w:hAnsi="Times New Roman" w:cs="Times New Roman"/>
        </w:rPr>
      </w:pPr>
      <w:r w:rsidRPr="00714FD0">
        <w:rPr>
          <w:rFonts w:ascii="Times New Roman" w:hAnsi="Times New Roman" w:cs="Times New Roman"/>
          <w:b/>
          <w:bCs/>
        </w:rPr>
        <w:t>Del Domicilio</w:t>
      </w:r>
    </w:p>
    <w:p w:rsidR="00714FD0" w:rsidRDefault="00714FD0"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Artículo 11</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domicilio de una persona física se encuentra en el territorio del Estado donde tiene su residencia habitual.</w:t>
      </w:r>
    </w:p>
    <w:p w:rsidR="00714FD0" w:rsidRDefault="00714FD0"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Artículo 12</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mujer casada tiene su domicilio propio y distinto del marido, si lo ha adquirido de conformidad con lo dispuesto en el artículo anterior.</w:t>
      </w:r>
    </w:p>
    <w:p w:rsidR="00714FD0" w:rsidRDefault="00714FD0"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Artículo 13</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domicilio de los menores e incapaces sujetos a patria potestad, a tutela o a curatela, se encuentra en el territorio del Estado donde tienen su residencia habitual.</w:t>
      </w:r>
    </w:p>
    <w:p w:rsidR="00714FD0" w:rsidRDefault="00714FD0"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Artículo 14</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Cuando la residencia habitual en el territorio de un Estado sea resultado exclusivo de funciones conferidas por un organismo público, nacional, extranjero o internacional no producirá los efectos previstos en los artículos anteriores.</w:t>
      </w:r>
    </w:p>
    <w:p w:rsidR="00714FD0" w:rsidRDefault="00714FD0" w:rsidP="00714FD0">
      <w:pPr>
        <w:spacing w:line="360" w:lineRule="auto"/>
        <w:jc w:val="both"/>
        <w:rPr>
          <w:rFonts w:ascii="Times New Roman" w:hAnsi="Times New Roman" w:cs="Times New Roman"/>
        </w:rPr>
      </w:pPr>
    </w:p>
    <w:p w:rsidR="00714FD0"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Artículo 15</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disposiciones de este capítulo se aplican siempre que esta Ley se refiera al domicilio de una persona física y, en general, cuando el domicilio constituye un medio de determinar el Derecho aplicable o la jurisdicción de los tribunales.</w:t>
      </w:r>
    </w:p>
    <w:p w:rsidR="00714FD0" w:rsidRDefault="00714FD0" w:rsidP="00714FD0">
      <w:pPr>
        <w:spacing w:line="360" w:lineRule="auto"/>
        <w:jc w:val="both"/>
        <w:rPr>
          <w:rFonts w:ascii="Times New Roman" w:hAnsi="Times New Roman" w:cs="Times New Roman"/>
        </w:rPr>
      </w:pPr>
    </w:p>
    <w:p w:rsidR="00714FD0" w:rsidRDefault="00714FD0" w:rsidP="00714FD0">
      <w:pPr>
        <w:spacing w:line="360" w:lineRule="auto"/>
        <w:jc w:val="both"/>
        <w:rPr>
          <w:rFonts w:ascii="Times New Roman" w:hAnsi="Times New Roman" w:cs="Times New Roman"/>
        </w:rPr>
      </w:pPr>
    </w:p>
    <w:p w:rsidR="00044D6F"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lastRenderedPageBreak/>
        <w:t>Capítulo III</w:t>
      </w:r>
    </w:p>
    <w:p w:rsidR="00044D6F" w:rsidRPr="00714FD0" w:rsidRDefault="00EE6EBF" w:rsidP="00714FD0">
      <w:pPr>
        <w:spacing w:line="360" w:lineRule="auto"/>
        <w:jc w:val="center"/>
        <w:rPr>
          <w:rFonts w:ascii="Times New Roman" w:hAnsi="Times New Roman" w:cs="Times New Roman"/>
          <w:b/>
          <w:bCs/>
        </w:rPr>
      </w:pPr>
      <w:r w:rsidRPr="00714FD0">
        <w:rPr>
          <w:rFonts w:ascii="Times New Roman" w:hAnsi="Times New Roman" w:cs="Times New Roman"/>
          <w:b/>
          <w:bCs/>
        </w:rPr>
        <w:t>De las Personas</w:t>
      </w:r>
    </w:p>
    <w:p w:rsidR="00714FD0" w:rsidRDefault="00714FD0" w:rsidP="00714FD0">
      <w:pPr>
        <w:spacing w:line="360" w:lineRule="auto"/>
        <w:jc w:val="both"/>
        <w:rPr>
          <w:rFonts w:ascii="Times New Roman" w:hAnsi="Times New Roman" w:cs="Times New Roman"/>
        </w:rPr>
      </w:pPr>
    </w:p>
    <w:p w:rsidR="00714FD0"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16</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existencia, estado y capacidad de las personas se rigen por el Derecho de su domicilio.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17</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cambio de domicilio no restringe la capacidad adquirida.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18</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persona que es incapaz de acuerdo con las disposiciones anteriores, actúa válidamente si la considera capaz el Derecho que rija el contenido del acto.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19</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No producirán efectos en Venezuela las limitaciones a la capacidad establecidas en el Derecho del domicilio, que se basen en diferencias de raza, nacionalidad, religión o rango.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20</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existencia, la capacidad, el funcionamiento y la disolución de las personas jurídicas de carácter privado se rigen por el Derecho del lugar de su constitución.</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Se entiende por lugar de su constitución, aquél en donde se cumplan los requisitos de forma y fondo requeridos para la creación de dichas personas.</w:t>
      </w: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Capítulo IV</w:t>
      </w:r>
    </w:p>
    <w:p w:rsidR="00044D6F" w:rsidRPr="00714FD0" w:rsidRDefault="00EE6EBF" w:rsidP="009B4E07">
      <w:pPr>
        <w:spacing w:line="360" w:lineRule="auto"/>
        <w:jc w:val="center"/>
        <w:rPr>
          <w:rFonts w:ascii="Times New Roman" w:hAnsi="Times New Roman" w:cs="Times New Roman"/>
        </w:rPr>
      </w:pPr>
      <w:r w:rsidRPr="009B4E07">
        <w:rPr>
          <w:rFonts w:ascii="Times New Roman" w:hAnsi="Times New Roman" w:cs="Times New Roman"/>
          <w:b/>
          <w:bCs/>
        </w:rPr>
        <w:t>De la Familia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21</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capacidad para contraer matrimonio y los requisitos de fondo del matrimonio se rigen, para cada uno de los contrayentes, por el Derecho de su respectivo domicilio.</w:t>
      </w: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Artículo 22</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efectos personales y patrimoniales del matrimonio se rigen por el derecho del domicilio común de los cónyuges. Si tuvieren domicilios distintos, se aplicará el Derecho del último domicilio común.</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capitulaciones matrimoniales válidas de acuerdo con un Derecho extranjero competente podrán ser inscritas en cualquier momento en la respectiva Oficina Principal de Registro venezolana, cuando se pretenda que produzcan efectos respecto de terceras personas de buena fe, sobre bienes inmuebles situados en el territorio de la República.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23</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divorcio y la separación de cuerpos se rigen por el Derecho del domicilio del cónyuge que intenta la demanda.</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cambio de domicilio del cónyuge demandante sólo produce efecto después de un año de haber ingresado en el territorio de un Estado con el propósito de fijar en él la residencia habitual.</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24</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establecimiento de la filiación, así como las relaciones entre padres e hijos, se rigen por el Derecho del domicilio del hijo.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25</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Al adoptante y al adoptado se les aplicará el Derecho de su respectivo domicilio en todo lo concerniente a los requisitos de fondo necesarios para la validez de la adopción.</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26</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tutela y demás instituciones de protección de incapaces se rigen por el Derecho del domicilio del incapaz.</w:t>
      </w: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Capítulo V</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De los Bienes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27</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constitución, el contenido y la extensión de los derechos reales sobre los bienes, se rigen por el Derecho del lugar de la situación.</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28</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 xml:space="preserve">El desplazamiento de bienes muebles no influye sobre los derechos que hubieren sido válidamente constituidos bajo el imperio del Derecho anterior. </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No obstante, tales derechos sólo pueden ser opuestos a terceros, después de cumplidos los requisitos que establezca al respecto el Derecho de la nueva situación.</w:t>
      </w: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Capítulo VI</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De las Obligaciones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29</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obligaciones convencionales se rigen por el Derecho indicado por las partes.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30</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A falta de indicación válida, las obligaciones convencionales se rigen por el Derecho con el cual se encuentran más directamente vinculadas. El tribunal tomará en cuenta todos los elementos objetivos y subjetivos que se desprendan del contrato para determinar ese Derecho. También tomará en cuenta los principios generales del Derecho Comercial Internacional aceptados por organismos internacionales.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31</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Además de lo dispuesto en los artículos anteriores, se aplicarán, cuando corresponda, las normas, las costumbres y los principios del Derecho Comercial Internacional, así como los usos y prácticas comerciales de general aceptación, con la finalidad de realizar las exigencias impuestas por la justicia y la equidad en la solución del caso concreto.</w:t>
      </w: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Artículo 32</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hechos ilícitos se rigen por el Derecho del lugar donde se han producido sus efectos. Sin embargo, la víctima puede demandar la aplicación del Derecho del Estado donde se produjo la causa generadora del hecho ilícito.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33</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gestión de negocios, el pago de lo indebido y el enriquecimiento sin causa se rigen por el Derecho del lugar en el cual se realiza el hecho originario de la obligación.</w:t>
      </w: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Capítulo VII</w:t>
      </w:r>
    </w:p>
    <w:p w:rsidR="00044D6F" w:rsidRPr="00714FD0" w:rsidRDefault="00EE6EBF" w:rsidP="009B4E07">
      <w:pPr>
        <w:spacing w:line="360" w:lineRule="auto"/>
        <w:jc w:val="center"/>
        <w:rPr>
          <w:rFonts w:ascii="Times New Roman" w:hAnsi="Times New Roman" w:cs="Times New Roman"/>
        </w:rPr>
      </w:pPr>
      <w:r w:rsidRPr="009B4E07">
        <w:rPr>
          <w:rFonts w:ascii="Times New Roman" w:hAnsi="Times New Roman" w:cs="Times New Roman"/>
          <w:b/>
          <w:bCs/>
        </w:rPr>
        <w:t>De las Sucesiones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34</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sucesiones se rigen por el Derecho del domicilio del causante.</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35</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descendientes, los ascendientes y el cónyuge sobreviviente, no separado legalmente de bienes, podrán, en todo caso, hacer efectivo sobre los bienes situados en la República el derecho a la legítima que les acuerda el Derecho venezolano.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36</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En el caso de que, de acuerdo con el Derecho competente, los bienes de la sucesión correspondan al Estado, o en el caso de que no existan o se ignoren los herederos, los bienes situados en la República pasarán al patrimonio de la Nación venezolana.</w:t>
      </w: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Capítulo VIII</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De la Forma y Prueba de los Actos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37</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actos jurídicos son válidos, en cuanto a la forma, si cumplen los requisitos exigidos en cualquiera de los siguientes ordenamientos jurídicos: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lastRenderedPageBreak/>
        <w:t>1. El del lugar de celebración del acto;</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2. El que rige el contenido del acto; 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3. El del domicilio de su otorgante o del domicilio común de sus otorgantes.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38</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medios de prueba, su eficacia y la determinación de la carga de la prueba se rigen por el Derecho que regula la relación jurídica correspondiente, sin perjuicio de que su sustanciación procesal se ajuste al derecho del Tribunal o funcionario ante el cual se efectúa.</w:t>
      </w: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Capítulo IX</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De la Jurisdicción y de la Competencia</w:t>
      </w:r>
    </w:p>
    <w:p w:rsidR="009B4E07" w:rsidRPr="009B4E07" w:rsidRDefault="009B4E07" w:rsidP="009B4E07">
      <w:pPr>
        <w:spacing w:line="360" w:lineRule="auto"/>
        <w:jc w:val="center"/>
        <w:rPr>
          <w:rFonts w:ascii="Times New Roman" w:hAnsi="Times New Roman" w:cs="Times New Roman"/>
          <w:b/>
          <w:bCs/>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39</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Además de la jurisdicción que asigna la ley a los tribunales venezolanos en los juicios intentados contra personas domiciliadas en el territorio nacional, los tribunales de la República tendrán jurisdicción en juicios intentados contra personas domiciliadas en el exterior en los casos contemplados en los artículos 40, 41 y 42 de esta Ley.</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40</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tribunales venezolanos tendrán jurisdicción para conocer de los juicios originados por el ejercicio de acciones de contenido patrimonial:</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1. Cuando se ventilen acciones relativas a la disposición o la tenencia de bienes muebles o inmuebles situados en el territorio de la República;</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2. Cuando se ventilen acciones relativas a obligaciones que deban ejecutarse en el territorio de la República o que se deriven de contratos celebrados o de hechos verificados en el mencionado territorio;</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3. Cuando el demandado haya sido citado personalmente en el territorio de la República;</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4. Cuando las partes se sometan expresa o tácitamente a su jurisdicción.</w:t>
      </w: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Artículo 41</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tribunales venezolanos tendrán jurisdicción para conocer de juicios originados por el ejercicio de acciones relativas a universalidades de bienes: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1. Cuando el Derecho venezolano sea competente, de acuerdo con las disposiciones de esta Ley, para regir el fondo del litigio;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2. Cuando se encuentren situados en el territorio de la República bienes que formen parte integrante de la universalidad.</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42</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tribunales venezolanos tendrán jurisdicción para conocer de los juicios originados por el ejercicio de acciones sobre estado de las personas o las relaciones familiares: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1. Cuando el Derecho venezolano sea competente, de acuerdo con las disposiciones de esta Ley, para regir el fondo del litigio;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2. Cuando las partes se sometan expresa o tácitamente a su jurisdicción, siempre que la causa tenga una vinculación efectiva con el territorio de la República.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43</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tribunales venezolanos tendrán jurisdicción para dictar medidas provisionales de protección de las personas que se encuentren en el territorio de la República, aunque carezcan de jurisdicción para conocer del fondo del litigio.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44</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sumisión expresa deberá constar por escrito.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45</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sumisión tácita resultará, por parte del demandante, del hecho de interponer la demanda y, por parte del demandado, del hecho de realizar en el juicio, personalmente o por medio de apoderado, cualquier acto que no sea proponer la declinatoria de jurisdicción u oponerse a una medida preventiva.</w:t>
      </w: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Artículo 46</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No es válida la sumisión en materia de acciones que afecten a la creación, modificación o extinción de derechos reales sobre bienes inmuebles, a no ser que lo permita el Derecho de la situación de los inmuebles.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47</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jurisdicción que corresponde a los tribunales venezolanos, según las disposiciones anteriores, no podrá ser derogada convencionalmente en favor de tribunales extranjeros, o árbitros que resuelvan en el extranjero, en aquellos casos en que el asunto se refiera a controversias relativas a derechos reales sobre bienes inmuebles situados en el territorio de la República, o se trate de materias respecto de las cuales no cabe transacción o que afecten los principios esenciales del orden público venezolano.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48</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Siempre que los tribunales venezolanos tengan jurisdicción de acuerdo con las disposiciones de este Capítulo, la competencia territorial interna de los diversos tribunales se regirá por las disposiciones establecidas en los artículos 49, 50 y 51 de esta Ley.</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49</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Tendrá competencia para conocer de los juicios originados por el ejercicio de acciones de contenido patrimonial:</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1. Cuando se ventilen acciones relativas a la disposición o la tenencia de bienes muebles o inmuebles situados en el territorio de la República, el Tribunal del lugar donde estén situados los bienes;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2. Cuando se ventilen acciones relativas a obligaciones que deban ejecutarse en el territorio de la República o que se deriven de contratos celebrados o de hechos verificados en el mencionado territorio, el Tribunal del lugar donde deba ejecutarse la obligación o donde se haya celebrado el contrato o verificado el hecho que origine la obligación;</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3. Cuando el demandado haya sido citado personalmente en el territorio de la República, el Tribunal del lugar donde haya ocurrido la citación;</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lastRenderedPageBreak/>
        <w:t>4. Cuando las partes se hubieren sometido expresamente en forma genérica a los tribunales de la República, aquel que resulte competente en virtud de alguno de los criterios indicados en los tres numerales anteriores y, en su defecto, el Tribunal de la capital de la República.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50</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Tendrá competencia para conocer de juicios originados por el ejercicio de acciones relativas a universalidades de bienes: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1. Cuando el Derecho venezolano sea competente de acuerdo con las disposiciones de esta Ley para regir el fondo del litigio, el Tribunal donde tuviere su domicilio la persona en virtud de la cual se atribuye competencia al Derecho venezolano;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2. Cuando se encuentren situados en el territorio de la República bienes que forman parte integrante de la universalidad, el Tribunal del lugar donde se encuentre la mayor parte de los bienes de la universalidad situados en el territorio de la República.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51</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Tendrá competencia para conocer de los juicios originados por el ejercicio de acciones sobre el estado civil de las personas o las relaciones familiares: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1. Cuando el Derecho venezolano sea competente de acuerdo con las disposiciones de esta Ley para regir el fondo del litigio, el Tribunal del domicilio de la persona en virtud de la cual se atribuye competencia al Derecho venezolano;</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2. Cuando las partes se sometan expresa o tácitamente a su jurisdicción, el Tribunal del lugar con el cual se vincule la causa al territorio de la República.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52</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normas establecidas en los artículos 49, 50 y 51 no excluyen la competencia de tribunales distintos, cuando les sea atribuida por otras leyes de la República.</w:t>
      </w: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Capítulo X</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De la Eficacia de las Sentencias Extranjeras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53</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Las sentencias extranjeras tendrán efecto en Venezuela siempre que reúnan los siguientes requisitos: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1. Que hayan sido dictadas en materia civil o mercantil o, en general, en materia de relaciones jurídicas privadas;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2. Que tengan fuerza de cosa juzgada de acuerdo con la ley del Estado en el cual han sido pronunciadas;</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3. Que no versen sobre derechos reales respecto a bienes inmuebles situados en la República o que no se haya arrebatado a Venezuela la jurisdicción exclusiva que le correspondiere para conocer del negocio;</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4. Que los tribunales del Estado sentenciador tengan jurisdicción para conocer de la causa de acuerdo con los principios generales de jurisdicción consagrados en el Capítulo IX de esta Ley;</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5. Que el demandado haya sido debidamente citado, con tiempo suficiente para comparecer, y que se le hayan otorgado en general, las garantías procesales que aseguren una razonable posibilidad de defensa;</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6. Que no sean incompatibles con sentencia anterior que tenga autoridad de cosa juzgada; y que no se encuentre pendiente, ante los tribunales venezolanos, un juicio sobre el mismo objeto y entre las mismas partes, iniciado antes que se hubiere dictado la sentencia extranjera.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54</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Si una sentencia extranjera no puede desplegar eficacia en su totalidad, podrá admitirse su eficacia parcial.</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55</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Para proceder a la ejecución de una sentencia extranjera deberá ser declarada ejecutoria de acuerdo con el procedimiento establecido por la ley y previa comprobación de que en ella concurren los requisitos consagrados en el artículo 53 de esta Ley.</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Capítulo XI</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Del Procedimiento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56</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competencia y la forma del procedimiento se regulan por el Derecho del funcionario ante el cual se desenvuelve.</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57</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falta de jurisdicción del Juez venezolano respecto del Juez extranjero se declarará de oficio, o a solicitud de parte, en cualquier estado o grado del proceso.</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solicitud de regulación de la jurisdicción suspende el procedimiento hasta que haya sido dictada la decisión correspondiente.</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En caso de afirmarse la jurisdicción de los Tribunales venezolanos la causa continuará su curso en el estado en que se encuentra al dictarse la decisión, pero la decisión que la niegue deberá ser consultada en la Corte Suprema de Justicia, Sala Político Administrativa, a cuyo efecto se le remitirán inmediatamente los autos y si es confirmada se ordenará el archivo del expediente, quedando extinguida la causa.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58</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La jurisdicción venezolana exclusiva no queda excluida por la pendencia ante un Juez extranjero de la misma causa o de otra conexa con ella.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59</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Tribunales de la República podrán dirigirse a cualquier autoridad competente extranjera, mediante exhortos y comisiones rogatorias, para la práctica de citaciones, diligencias probatorias o de cualquier otra actuación judicial que resulte necesaria para el buen desarrollo del proceso. Asimismo evacuarán dentro de la mayor brevedad, los exhortos y comisiones rogatorias provenientes de Tribunales extranjeros que se ajusten a los principios del Derecho Internacional aplicables en la materia.</w:t>
      </w:r>
    </w:p>
    <w:p w:rsidR="009B4E07" w:rsidRDefault="009B4E07" w:rsidP="00714FD0">
      <w:pPr>
        <w:spacing w:line="360" w:lineRule="auto"/>
        <w:jc w:val="both"/>
        <w:rPr>
          <w:rFonts w:ascii="Times New Roman" w:hAnsi="Times New Roman" w:cs="Times New Roman"/>
        </w:rPr>
      </w:pP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lastRenderedPageBreak/>
        <w:t>Artículo 60</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El Derecho extranjero será aplicado de oficio. Las partes podrán aportar informaciones relativas al derecho extranjero aplicable y los Tribunales y autoridades podrán dictar providencias tendientes al mejor conocimiento del mismo.</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61</w:t>
      </w:r>
    </w:p>
    <w:p w:rsidR="00044D6F" w:rsidRPr="00714FD0" w:rsidRDefault="00EE6EBF" w:rsidP="00714FD0">
      <w:pPr>
        <w:spacing w:line="360" w:lineRule="auto"/>
        <w:jc w:val="both"/>
        <w:rPr>
          <w:rFonts w:ascii="Times New Roman" w:hAnsi="Times New Roman" w:cs="Times New Roman"/>
        </w:rPr>
      </w:pPr>
      <w:r w:rsidRPr="00714FD0">
        <w:rPr>
          <w:rFonts w:ascii="Times New Roman" w:hAnsi="Times New Roman" w:cs="Times New Roman"/>
        </w:rPr>
        <w:t>Los recursos establecidos por la ley serán procedentes cualquiera que fuere el ordenamiento jurídico que se hubiere debido aplicar en la decisión contra la cual se interponen.</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62</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Salvo lo dispuesto en el artículo 47 de esta Ley, todo lo concerniente al arbitraje comercial internacional se regirá por las normas especiales que regulan la materia.</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Capítulo XII</w:t>
      </w: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Disposiciones Finales</w:t>
      </w:r>
    </w:p>
    <w:p w:rsidR="009B4E07" w:rsidRDefault="009B4E07" w:rsidP="00714FD0">
      <w:pPr>
        <w:spacing w:line="360" w:lineRule="auto"/>
        <w:jc w:val="both"/>
        <w:rPr>
          <w:rFonts w:ascii="Times New Roman" w:hAnsi="Times New Roman" w:cs="Times New Roman"/>
        </w:rPr>
      </w:pPr>
    </w:p>
    <w:p w:rsidR="009B4E07"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63</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Se derogan todas las disposiciones que regulen la materia objeto de esta Ley.</w:t>
      </w:r>
    </w:p>
    <w:p w:rsidR="009B4E07" w:rsidRDefault="009B4E07" w:rsidP="00714FD0">
      <w:pPr>
        <w:spacing w:line="360" w:lineRule="auto"/>
        <w:jc w:val="both"/>
        <w:rPr>
          <w:rFonts w:ascii="Times New Roman" w:hAnsi="Times New Roman" w:cs="Times New Roman"/>
        </w:rPr>
      </w:pPr>
    </w:p>
    <w:p w:rsidR="00044D6F" w:rsidRPr="009B4E07" w:rsidRDefault="00EE6EBF" w:rsidP="009B4E07">
      <w:pPr>
        <w:spacing w:line="360" w:lineRule="auto"/>
        <w:jc w:val="center"/>
        <w:rPr>
          <w:rFonts w:ascii="Times New Roman" w:hAnsi="Times New Roman" w:cs="Times New Roman"/>
          <w:b/>
          <w:bCs/>
        </w:rPr>
      </w:pPr>
      <w:r w:rsidRPr="009B4E07">
        <w:rPr>
          <w:rFonts w:ascii="Times New Roman" w:hAnsi="Times New Roman" w:cs="Times New Roman"/>
          <w:b/>
          <w:bCs/>
        </w:rPr>
        <w:t>Artículo 64</w:t>
      </w: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Esta Ley entrará en vigor seis meses después de su publicación en la Gaceta Oficial de la República de Venezuela.</w:t>
      </w:r>
    </w:p>
    <w:p w:rsidR="009B4E07" w:rsidRDefault="009B4E07" w:rsidP="00714FD0">
      <w:pPr>
        <w:spacing w:line="360" w:lineRule="auto"/>
        <w:jc w:val="both"/>
        <w:rPr>
          <w:rFonts w:ascii="Times New Roman" w:hAnsi="Times New Roman" w:cs="Times New Roman"/>
        </w:rPr>
      </w:pPr>
    </w:p>
    <w:p w:rsidR="009B4E07" w:rsidRDefault="00EE6EBF" w:rsidP="00714FD0">
      <w:pPr>
        <w:spacing w:line="360" w:lineRule="auto"/>
        <w:jc w:val="both"/>
        <w:rPr>
          <w:rFonts w:ascii="Times New Roman" w:hAnsi="Times New Roman" w:cs="Times New Roman"/>
        </w:rPr>
      </w:pPr>
      <w:r w:rsidRPr="00714FD0">
        <w:rPr>
          <w:rFonts w:ascii="Times New Roman" w:hAnsi="Times New Roman" w:cs="Times New Roman"/>
        </w:rPr>
        <w:t>Dada, firmada y sellada en el Palacio Federal Legislativo, en Caracas, a los nueve días del mes de julio de mil novecientos noventa y ocho. Años 188 de la Independencia y 139 de la Federación.</w:t>
      </w:r>
    </w:p>
    <w:p w:rsidR="009B4E07" w:rsidRDefault="009B4E07" w:rsidP="00714FD0">
      <w:pPr>
        <w:spacing w:line="360" w:lineRule="auto"/>
        <w:jc w:val="both"/>
        <w:rPr>
          <w:rFonts w:ascii="Times New Roman" w:hAnsi="Times New Roman" w:cs="Times New Roman"/>
        </w:rPr>
      </w:pPr>
    </w:p>
    <w:p w:rsidR="006B77EE" w:rsidRPr="00714FD0" w:rsidRDefault="006B77EE" w:rsidP="00714FD0">
      <w:pPr>
        <w:jc w:val="both"/>
        <w:rPr>
          <w:rFonts w:ascii="Times New Roman" w:hAnsi="Times New Roman" w:cs="Times New Roman"/>
        </w:rPr>
      </w:pPr>
    </w:p>
    <w:sectPr w:rsidR="006B77EE" w:rsidRPr="00714FD0"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BF"/>
    <w:rsid w:val="00044D6F"/>
    <w:rsid w:val="00247C22"/>
    <w:rsid w:val="006B77EE"/>
    <w:rsid w:val="00714FD0"/>
    <w:rsid w:val="009B4E07"/>
    <w:rsid w:val="00EE6EB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6044079D"/>
  <w15:chartTrackingRefBased/>
  <w15:docId w15:val="{0FECF0F2-3ED4-594D-8FB7-B203F933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3124</Words>
  <Characters>17183</Characters>
  <Application>Microsoft Office Word</Application>
  <DocSecurity>0</DocSecurity>
  <Lines>143</Lines>
  <Paragraphs>40</Paragraphs>
  <ScaleCrop>false</ScaleCrop>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4</cp:revision>
  <dcterms:created xsi:type="dcterms:W3CDTF">2023-07-14T22:31:00Z</dcterms:created>
  <dcterms:modified xsi:type="dcterms:W3CDTF">2024-01-17T17:02:00Z</dcterms:modified>
</cp:coreProperties>
</file>