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E1E" w:rsidRPr="004B66B5" w:rsidRDefault="00467E1E" w:rsidP="004B66B5">
      <w:pPr>
        <w:spacing w:line="360" w:lineRule="auto"/>
        <w:jc w:val="center"/>
        <w:rPr>
          <w:rFonts w:ascii="Times New Roman" w:hAnsi="Times New Roman" w:cs="Times New Roman"/>
          <w:b/>
          <w:bCs/>
        </w:rPr>
      </w:pPr>
      <w:r w:rsidRPr="004B66B5">
        <w:rPr>
          <w:rFonts w:ascii="Times New Roman" w:hAnsi="Times New Roman" w:cs="Times New Roman"/>
          <w:b/>
          <w:bCs/>
        </w:rPr>
        <w:t>LEY PARA LA PROMOCIÓN Y USO</w:t>
      </w:r>
    </w:p>
    <w:p w:rsidR="00467E1E" w:rsidRPr="004B66B5" w:rsidRDefault="00467E1E" w:rsidP="004B66B5">
      <w:pPr>
        <w:spacing w:line="360" w:lineRule="auto"/>
        <w:jc w:val="center"/>
        <w:rPr>
          <w:rFonts w:ascii="Times New Roman" w:hAnsi="Times New Roman" w:cs="Times New Roman"/>
          <w:b/>
          <w:bCs/>
        </w:rPr>
      </w:pPr>
      <w:r w:rsidRPr="004B66B5">
        <w:rPr>
          <w:rFonts w:ascii="Times New Roman" w:hAnsi="Times New Roman" w:cs="Times New Roman"/>
          <w:b/>
          <w:bCs/>
        </w:rPr>
        <w:t>DEL LENGUAJE CON ENFOQUE DE GÉNERO</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Objeto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1.</w:t>
      </w:r>
      <w:r w:rsidRPr="004B66B5">
        <w:rPr>
          <w:rFonts w:ascii="Times New Roman" w:hAnsi="Times New Roman" w:cs="Times New Roman"/>
        </w:rPr>
        <w:t xml:space="preserve"> Esta Ley tiene por objeto promover y garantizar el uso del lenguaje con enfoque de género, inclusivo y no sexista, empleado en la Constitución de la República Bolivariana de Venezuela, para contribuir a garantizar que la igualdad de las mujeres y los hombres sea real y efectiva en el uso del lenguaje.</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Finalidad</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2.</w:t>
      </w:r>
      <w:r w:rsidRPr="004B66B5">
        <w:rPr>
          <w:rFonts w:ascii="Times New Roman" w:hAnsi="Times New Roman" w:cs="Times New Roman"/>
        </w:rPr>
        <w:t xml:space="preserve"> Esta Ley tiene por finalidad:</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1. Promover el uso del lenguaje con enfoque de género, inclusivo y no sexista en el Estado, las familias y la sociedad como medio indispensable para que la igualdad entre las mujeres y los hombres sea real y efectiva.</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2. Contribuir a visibilizar a las mujeres en el uso del castellano para dar cuenta de su existencia y participación protagónica en la sociedad a los fines de superar las formas expresivas sexistas y excluyentes tradicionales.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3. Garantizar el uso del lenguaje con enfoque de género, inclusivo y no sexista en todos los actos y actuaciones del Estado en desarrollo del lenguaje oficial previsto en la Constitución de la República Bolivariana de Venezuela.</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Definición de lenguaje con enfoque de género, inclusivo y no sexista</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3.</w:t>
      </w:r>
      <w:r w:rsidRPr="004B66B5">
        <w:rPr>
          <w:rFonts w:ascii="Times New Roman" w:hAnsi="Times New Roman" w:cs="Times New Roman"/>
        </w:rPr>
        <w:t xml:space="preserve"> Se entiende como lenguaje con enfoque de género, inclusivo y no sexista a la expresión de las mujeres y de los hombres al mismo nivel, en condiciones de igualdad y que no conlleva estereotipos de género. Por tanto, evita el sesgo hacia un sexo o género en particular y, por ello, no oculta, subordina, jerarquiza, ni excluye a ninguno de los géneros.</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Criterios generales sobre el lenguaje con enfoque de género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4.</w:t>
      </w:r>
      <w:r w:rsidRPr="004B66B5">
        <w:rPr>
          <w:rFonts w:ascii="Times New Roman" w:hAnsi="Times New Roman" w:cs="Times New Roman"/>
        </w:rPr>
        <w:t xml:space="preserve"> El lenguaje con enfoque de género, inclusivo y no sexista se rige, entre otros, por los siguientes criterios generales: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1. Visibilizar en la comunicación escrita y oral la presencia por igual de hombres y mujeres.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lastRenderedPageBreak/>
        <w:t>2. Emplear el femenino y masculino siempre para evidenciar la existencia de las mujeres.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3. Emplear el femenino en los cargos públicos y profesiones.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4. Evitar el uso del masculino universal.</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5. Evitar la referencia al hombre como representación de las personas.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6. No utilizar términos masculinos genéricos para hacer referencia a un grupo de género mixto.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7. Favorecer el uso de palabras de género neutro.</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Uso del lenguaje con enfoque de género en el Estado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5.</w:t>
      </w:r>
      <w:r w:rsidRPr="004B66B5">
        <w:rPr>
          <w:rFonts w:ascii="Times New Roman" w:hAnsi="Times New Roman" w:cs="Times New Roman"/>
        </w:rPr>
        <w:t xml:space="preserve"> Todos los Poderes Públicos en sus actos y actuaciones deben emplear el lenguaje con enfoque de género, inclusivo y no sexista. Esta obligación se extiende, entre otros, a los documentos, textos y publicaciones oficiales, así como a los actos jurídicos emanados de todos los órganos y entes del Estado.</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Uso del lenguaje con enfoque de género en el Sistema Educativo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6.</w:t>
      </w:r>
      <w:r w:rsidRPr="004B66B5">
        <w:rPr>
          <w:rFonts w:ascii="Times New Roman" w:hAnsi="Times New Roman" w:cs="Times New Roman"/>
        </w:rPr>
        <w:t xml:space="preserve"> En todos los niveles y modalidades del Sistema Educativo debe emplearse el lenguaje con enfoque de género, inclusivo y no sexista. A tal efecto, todos los programas de educación del Subsistema de Educación Básica y del Subsistema de Educación Universitaria deben ajustar su contenido a lo previsto en esta Ley. Así mismo, los y las docentes deben promover la igualdad de hombres y mujeres en su comunicación oral y escrita.</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Todos los títulos académicos que sean emitidos a partir de la vigencia de la presente Ley deben emplear el lenguaje con enfoque de género, inclusivo y no sexista. Su incumplimiento legitima a la persona afectada a solicitar la reimpresión del documento sin que genere gastos administrativos, lo que traerá como consecuencia responsabilidades administrativas y civiles para las autoridades que lo infrinjan.</w:t>
      </w:r>
    </w:p>
    <w:p w:rsidR="00467E1E" w:rsidRPr="004B66B5" w:rsidRDefault="00467E1E" w:rsidP="004B66B5">
      <w:pPr>
        <w:spacing w:line="360" w:lineRule="auto"/>
        <w:jc w:val="both"/>
        <w:rPr>
          <w:rFonts w:ascii="Times New Roman" w:hAnsi="Times New Roman" w:cs="Times New Roman"/>
        </w:rPr>
      </w:pPr>
    </w:p>
    <w:p w:rsid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 xml:space="preserve">Uso del lenguaje con enfoque de género </w:t>
      </w: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en los procesos judiciales y administrativos</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7.</w:t>
      </w:r>
      <w:r w:rsidRPr="004B66B5">
        <w:rPr>
          <w:rFonts w:ascii="Times New Roman" w:hAnsi="Times New Roman" w:cs="Times New Roman"/>
        </w:rPr>
        <w:t xml:space="preserve"> En todos los procedimientos administrativos y judiciales debe emplearse el lenguaje con enfoque de género, inclusivo y no sexista, tanto en los documentos escritos como en la comunicación oral. Las servidoras públicas y servidores públicos deben ajustar </w:t>
      </w:r>
      <w:r w:rsidRPr="004B66B5">
        <w:rPr>
          <w:rFonts w:ascii="Times New Roman" w:hAnsi="Times New Roman" w:cs="Times New Roman"/>
        </w:rPr>
        <w:lastRenderedPageBreak/>
        <w:t>su comunicación oral al lenguaje previsto en la Constitución de la República Bolivariana de Venezuela y esta Ley.</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La omisión reiterada y arbitraria de lo establecido en este artículo será considerado una falta leve de los servidores públicos y servidoras públicas de carrera y acarreará las responsabilidades a que hubiere lugar.</w:t>
      </w:r>
    </w:p>
    <w:p w:rsidR="00467E1E" w:rsidRPr="004B66B5" w:rsidRDefault="00467E1E" w:rsidP="004B66B5">
      <w:pPr>
        <w:spacing w:line="360" w:lineRule="auto"/>
        <w:jc w:val="both"/>
        <w:rPr>
          <w:rFonts w:ascii="Times New Roman" w:hAnsi="Times New Roman" w:cs="Times New Roman"/>
        </w:rPr>
      </w:pPr>
    </w:p>
    <w:p w:rsid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 xml:space="preserve">Uso del lenguaje con enfoque de género </w:t>
      </w: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en los medios de comunicación social</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8.</w:t>
      </w:r>
      <w:r w:rsidRPr="004B66B5">
        <w:rPr>
          <w:rFonts w:ascii="Times New Roman" w:hAnsi="Times New Roman" w:cs="Times New Roman"/>
        </w:rPr>
        <w:t xml:space="preserve"> Los medios de comunicación social públicos, privados y comunitarios deben promover el uso del lenguaje con enfoque de género, inclusivo y no sexista para contribuir a lograr que la igualdad entre las mujeres y los hombres sea real y efectiva en nuestra sociedad.</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El Ministerio del Poder Popular para la Comunicación e Información conjuntamente con el Ministerio del Poder Popular para la Mujer y la Igualdad de Género desarrollarán programas permanentes de difusión y formación dirigidos a las comunicadoras y comunicadores sociales para favorecer el uso del lenguaje con enfoque de género, inclusivo y no sexista. A tales efectos, publicarán un manual para la comunicación de carácter orientador y no vinculante que sirva de referencia para las comunicadoras y comunicadores sociales.</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right"/>
        <w:rPr>
          <w:rFonts w:ascii="Times New Roman" w:hAnsi="Times New Roman" w:cs="Times New Roman"/>
          <w:b/>
          <w:bCs/>
        </w:rPr>
      </w:pPr>
      <w:r w:rsidRPr="004B66B5">
        <w:rPr>
          <w:rFonts w:ascii="Times New Roman" w:hAnsi="Times New Roman" w:cs="Times New Roman"/>
          <w:b/>
          <w:bCs/>
        </w:rPr>
        <w:t>Promoción del lenguaje con enfoque de género en el Estado</w:t>
      </w: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Artículo 9.</w:t>
      </w:r>
      <w:r w:rsidRPr="004B66B5">
        <w:rPr>
          <w:rFonts w:ascii="Times New Roman" w:hAnsi="Times New Roman" w:cs="Times New Roman"/>
        </w:rPr>
        <w:t xml:space="preserve"> El Ministerio del Poder Popular para la Mujer y la Igualdad de Género desarrollará acciones coordinadas con el Tribunal Supremo de Justicia, el Ministerio Público, la Defensoría del Pueblo, la Contraloría General de la República, el Consejo Nacional Electoral y el Servicio Autónomo de la Defensa Pública para garantizar el uso del lenguaje con enfoque de género, inclusivo y no sexista en los actos y actuaciones del Estado. A tal efecto, desarrollarán estrategias para que los órganos y entes del Estado adopten progresivamente directrices, manuales de estilo y guías obligatorias para el uso de este lenguaje, así como para que sus servidoras públicas y servidores públicos comprendan su importancia.</w:t>
      </w:r>
    </w:p>
    <w:p w:rsidR="00467E1E" w:rsidRPr="004B66B5" w:rsidRDefault="00467E1E" w:rsidP="004B66B5">
      <w:pPr>
        <w:spacing w:line="360" w:lineRule="auto"/>
        <w:jc w:val="both"/>
        <w:rPr>
          <w:rFonts w:ascii="Times New Roman" w:hAnsi="Times New Roman" w:cs="Times New Roman"/>
        </w:rPr>
      </w:pPr>
    </w:p>
    <w:p w:rsidR="004B66B5" w:rsidRDefault="004B66B5" w:rsidP="004B66B5">
      <w:pPr>
        <w:spacing w:line="360" w:lineRule="auto"/>
        <w:jc w:val="both"/>
        <w:rPr>
          <w:rFonts w:ascii="Times New Roman" w:hAnsi="Times New Roman" w:cs="Times New Roman"/>
        </w:rPr>
      </w:pPr>
    </w:p>
    <w:p w:rsidR="004B66B5" w:rsidRDefault="004B66B5" w:rsidP="004B66B5">
      <w:pPr>
        <w:spacing w:line="360" w:lineRule="auto"/>
        <w:jc w:val="both"/>
        <w:rPr>
          <w:rFonts w:ascii="Times New Roman" w:hAnsi="Times New Roman" w:cs="Times New Roman"/>
        </w:rPr>
      </w:pPr>
    </w:p>
    <w:p w:rsidR="00467E1E" w:rsidRPr="004B66B5" w:rsidRDefault="00467E1E" w:rsidP="004B66B5">
      <w:pPr>
        <w:spacing w:line="360" w:lineRule="auto"/>
        <w:jc w:val="center"/>
        <w:rPr>
          <w:rFonts w:ascii="Times New Roman" w:hAnsi="Times New Roman" w:cs="Times New Roman"/>
          <w:b/>
          <w:bCs/>
        </w:rPr>
      </w:pPr>
      <w:r w:rsidRPr="004B66B5">
        <w:rPr>
          <w:rFonts w:ascii="Times New Roman" w:hAnsi="Times New Roman" w:cs="Times New Roman"/>
          <w:b/>
          <w:bCs/>
        </w:rPr>
        <w:lastRenderedPageBreak/>
        <w:t>DISPOSICION FINAL</w:t>
      </w:r>
    </w:p>
    <w:p w:rsidR="004B66B5" w:rsidRDefault="004B66B5" w:rsidP="004B66B5">
      <w:pPr>
        <w:spacing w:line="360" w:lineRule="auto"/>
        <w:jc w:val="both"/>
        <w:rPr>
          <w:rFonts w:ascii="Times New Roman" w:hAnsi="Times New Roman" w:cs="Times New Roman"/>
        </w:rPr>
      </w:pP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b/>
          <w:bCs/>
        </w:rPr>
        <w:t>ÚNICA:</w:t>
      </w:r>
      <w:r w:rsidRPr="004B66B5">
        <w:rPr>
          <w:rFonts w:ascii="Times New Roman" w:hAnsi="Times New Roman" w:cs="Times New Roman"/>
        </w:rPr>
        <w:t xml:space="preserve"> Esta Ley entrará en vigencia al momento de su publicación en la Gaceta Oficial de la República Bolivariana de Venezuela. Uso del lenguaje con enfoque de género en los procesos judiciales y administrativos</w:t>
      </w:r>
    </w:p>
    <w:p w:rsidR="00467E1E" w:rsidRPr="004B66B5" w:rsidRDefault="00467E1E" w:rsidP="004B66B5">
      <w:pPr>
        <w:spacing w:line="360" w:lineRule="auto"/>
        <w:jc w:val="both"/>
        <w:rPr>
          <w:rFonts w:ascii="Times New Roman" w:hAnsi="Times New Roman" w:cs="Times New Roman"/>
        </w:rPr>
      </w:pPr>
    </w:p>
    <w:p w:rsidR="00467E1E" w:rsidRPr="004B66B5" w:rsidRDefault="00467E1E" w:rsidP="004B66B5">
      <w:pPr>
        <w:spacing w:line="360" w:lineRule="auto"/>
        <w:jc w:val="both"/>
        <w:rPr>
          <w:rFonts w:ascii="Times New Roman" w:hAnsi="Times New Roman" w:cs="Times New Roman"/>
        </w:rPr>
      </w:pPr>
      <w:r w:rsidRPr="004B66B5">
        <w:rPr>
          <w:rFonts w:ascii="Times New Roman" w:hAnsi="Times New Roman" w:cs="Times New Roman"/>
        </w:rPr>
        <w:t>Dado, firmado y sellado en el Palacio Federal Legislativo, en Caracas a los siete días del mes de octubre del 2021. Año 211 de la Independencia y 162 de la Federación y 22 de la Revolución Bolivariana.</w:t>
      </w:r>
    </w:p>
    <w:p w:rsidR="006B77EE" w:rsidRPr="004B66B5" w:rsidRDefault="006B77EE" w:rsidP="004B66B5">
      <w:pPr>
        <w:spacing w:line="360" w:lineRule="auto"/>
        <w:jc w:val="both"/>
        <w:rPr>
          <w:rFonts w:ascii="Times New Roman" w:hAnsi="Times New Roman" w:cs="Times New Roman"/>
        </w:rPr>
      </w:pPr>
    </w:p>
    <w:sectPr w:rsidR="006B77EE" w:rsidRPr="004B66B5"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1E"/>
    <w:rsid w:val="00247C22"/>
    <w:rsid w:val="00467E1E"/>
    <w:rsid w:val="004B66B5"/>
    <w:rsid w:val="006B77E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0916AA60"/>
  <w15:chartTrackingRefBased/>
  <w15:docId w15:val="{6545117A-F45B-E541-A000-FAABD69A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966</Words>
  <Characters>5319</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2</cp:revision>
  <dcterms:created xsi:type="dcterms:W3CDTF">2024-07-26T21:04:00Z</dcterms:created>
  <dcterms:modified xsi:type="dcterms:W3CDTF">2024-07-27T18:19:00Z</dcterms:modified>
</cp:coreProperties>
</file>